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B9" w:rsidRPr="00AD7EB9" w:rsidRDefault="00AD7EB9" w:rsidP="00AD7EB9">
      <w:pPr>
        <w:shd w:val="clear" w:color="auto" w:fill="FFFFFF"/>
        <w:spacing w:before="315" w:after="0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b/>
          <w:bCs/>
          <w:color w:val="000000"/>
          <w:sz w:val="23"/>
          <w:szCs w:val="23"/>
          <w:lang w:eastAsia="ru-RU"/>
        </w:rPr>
        <w:t>Обработка</w:t>
      </w:r>
    </w:p>
    <w:p w:rsidR="00AD7EB9" w:rsidRPr="00AD7EB9" w:rsidRDefault="00AD7EB9" w:rsidP="00AD7E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Особенно на больших поверхностях рекомендуется при дальнейшей обработке и установке обращать внимание на однородность цвета и структуры используемых панелей при раскрое, а также производить обработку материала с учетом направления обработки.</w:t>
      </w:r>
    </w:p>
    <w:p w:rsidR="00AD7EB9" w:rsidRPr="00AD7EB9" w:rsidRDefault="00AD7EB9" w:rsidP="00AD7EB9">
      <w:pPr>
        <w:shd w:val="clear" w:color="auto" w:fill="FFFFFF"/>
        <w:spacing w:before="315" w:after="0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b/>
          <w:bCs/>
          <w:color w:val="000000"/>
          <w:sz w:val="23"/>
          <w:szCs w:val="23"/>
          <w:lang w:eastAsia="ru-RU"/>
        </w:rPr>
        <w:t>Машины и инструменты</w:t>
      </w:r>
    </w:p>
    <w:p w:rsidR="00AD7EB9" w:rsidRPr="00AD7EB9" w:rsidRDefault="00AD7EB9" w:rsidP="00AD7E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Обработка инструментами с твердосплавными напайками или алмазной режущей кромкой на стандартных деревообрабатывающих станках.</w:t>
      </w:r>
    </w:p>
    <w:p w:rsidR="00AD7EB9" w:rsidRPr="00AD7EB9" w:rsidRDefault="00AD7EB9" w:rsidP="00AD7EB9">
      <w:pPr>
        <w:shd w:val="clear" w:color="auto" w:fill="FFFFFF"/>
        <w:spacing w:before="315" w:after="0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b/>
          <w:bCs/>
          <w:color w:val="000000"/>
          <w:sz w:val="23"/>
          <w:szCs w:val="23"/>
          <w:lang w:eastAsia="ru-RU"/>
        </w:rPr>
        <w:t>Обработка краев</w:t>
      </w:r>
    </w:p>
    <w:p w:rsidR="00AD7EB9" w:rsidRPr="00AD7EB9" w:rsidRDefault="00AD7EB9" w:rsidP="00AD7E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Обработка инструментами с твердосплавными напайками или алмазной режущей кромкой на стандартных деревообрабатывающих станках.</w:t>
      </w:r>
    </w:p>
    <w:p w:rsidR="00AD7EB9" w:rsidRPr="00AD7EB9" w:rsidRDefault="00AD7EB9" w:rsidP="00AD7EB9">
      <w:pPr>
        <w:shd w:val="clear" w:color="auto" w:fill="FFFFFF"/>
        <w:spacing w:before="315" w:after="0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b/>
          <w:bCs/>
          <w:color w:val="000000"/>
          <w:sz w:val="23"/>
          <w:szCs w:val="23"/>
          <w:lang w:eastAsia="ru-RU"/>
        </w:rPr>
        <w:t>Технология обивки</w:t>
      </w:r>
    </w:p>
    <w:p w:rsidR="00AD7EB9" w:rsidRPr="00AD7EB9" w:rsidRDefault="00AD7EB9" w:rsidP="00AD7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Подходят все стандартные растворимые и нерастворимые соединители для натуральной древесины и древесных материалов.</w:t>
      </w:r>
    </w:p>
    <w:p w:rsidR="00AD7EB9" w:rsidRPr="00AD7EB9" w:rsidRDefault="00AD7EB9" w:rsidP="00AD7EB9">
      <w:pPr>
        <w:shd w:val="clear" w:color="auto" w:fill="FFFFFF"/>
        <w:spacing w:before="315" w:after="0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b/>
          <w:bCs/>
          <w:color w:val="000000"/>
          <w:sz w:val="23"/>
          <w:szCs w:val="23"/>
          <w:lang w:eastAsia="ru-RU"/>
        </w:rPr>
        <w:t>Установка и монтаж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Перед началом установки необходимо обеспечить достаточное кондиционирование всех элементов системы (элементов обшивки стен, несущей конструкции и т. п.) в течение нескольких дней. В помещениях также должен быть создан микроклимат в соответствии с будущим использованием.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Обращайте внимание на профессиональную обработку и монтаж в соответствии с последними техническими достижениями.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При установке необходимо предусмотреть вентиляцию с обратной стороны и наличие одинаковых климатических условий с обеих сторон. Для достаточной циркуляции воздуха необходим зазор не менее 20 мм. Важно, чтобы горизонтальная часть опорной конструкции, а также нижняя и верхняя части обшивки стен прерывались для обеспечения вертикальной вентиляции. Следует избегать прямого крепления к основе без воздушного зазора.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В установленном состоянии материал панелей должен обладать достаточной подвижностью. Стыки панелей выполняются с зазором, сквозные отверстия — с запасом.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Обращайте внимание на то, чтобы при монтаже всех элементов панелей сохранился люфт при продольной деформации. При сочетании с другими материалами следует учитывать коэффициенты линейного расширения, которые могут отличаться.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Новые стены (будь то кладка, бетон или штукатурка) содержат значительное количество влаги и до начала обшивки должны полностью высохнуть.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lastRenderedPageBreak/>
        <w:t>Опорную конструкцию защитить от коррозии.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Опорная поверхность не должна быть влажной или неустойчивой. Минимальная несущая способность и устойчивость должны соответствовать предполагаемому целевому назначению.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Не допускайте скрытого высыхания поверхности в результате прямого теплового воздействия: светового/теплового излучения или потока воздуха от систем отопления/кондиционирования.</w:t>
      </w:r>
    </w:p>
    <w:p w:rsidR="00AD7EB9" w:rsidRPr="00AD7EB9" w:rsidRDefault="00AD7EB9" w:rsidP="00AD7E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Дополнительная информация содержится в инструкциях отраслевого объединения ICDLI по обработке и монтажу бумажно-слоистых пластиков и компакт-ламинатов (www.ICDLI.com).</w:t>
      </w:r>
    </w:p>
    <w:p w:rsidR="00AD7EB9" w:rsidRPr="00AD7EB9" w:rsidRDefault="00AD7EB9" w:rsidP="00AD7EB9">
      <w:pPr>
        <w:shd w:val="clear" w:color="auto" w:fill="FFFFFF"/>
        <w:spacing w:before="315" w:after="0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b/>
          <w:bCs/>
          <w:color w:val="000000"/>
          <w:sz w:val="23"/>
          <w:szCs w:val="23"/>
          <w:lang w:eastAsia="ru-RU"/>
        </w:rPr>
        <w:t>Обращение, хранение и транспортировка</w:t>
      </w:r>
    </w:p>
    <w:p w:rsidR="00AD7EB9" w:rsidRPr="00AD7EB9" w:rsidRDefault="00AD7EB9" w:rsidP="00AD7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Хранение осуществляется при полном прилегании, «кромка к кромке», в горизонтальном положении, на ровном и чистом основании, материал должен быть закрыт синтетической пленкой. Самую верхнюю панель следует также полностью закрыть пленкой и накрыть защитной плитой.</w:t>
      </w:r>
    </w:p>
    <w:p w:rsidR="00AD7EB9" w:rsidRPr="00AD7EB9" w:rsidRDefault="00AD7EB9" w:rsidP="00AD7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Защищать от воздействия влажности воздуха и влияния сырости.</w:t>
      </w:r>
    </w:p>
    <w:p w:rsidR="00AD7EB9" w:rsidRPr="00AD7EB9" w:rsidRDefault="00AD7EB9" w:rsidP="00AD7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Не допускайте скрытого высыхания поверхности в результате прямого теплового воздействия: светового/теплового излучения или потока воздуха от систем отопления/кондиционирования.</w:t>
      </w:r>
    </w:p>
    <w:p w:rsidR="00AD7EB9" w:rsidRPr="00AD7EB9" w:rsidRDefault="00AD7EB9" w:rsidP="00AD7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Инородные тела и абразивные частицы при попадании между панелями в штабеле могут привести к вмятинам и другим повреждениям поверхности.</w:t>
      </w:r>
    </w:p>
    <w:p w:rsidR="00AD7EB9" w:rsidRPr="00AD7EB9" w:rsidRDefault="00AD7EB9" w:rsidP="00AD7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Панели нельзя передвигать или сдвигать, когда они уложены в штабель, следует только поднимать вручную или с помощью вакуумного захвата.</w:t>
      </w:r>
    </w:p>
    <w:p w:rsidR="00AD7EB9" w:rsidRPr="00AD7EB9" w:rsidRDefault="00AD7EB9" w:rsidP="00AD7E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При транспортировке панелей в штабелях необходимо использовать достаточно большие и стабильные поддоны, например паллеты. Панели в штабелях следует закрепить от перемещения.</w:t>
      </w:r>
    </w:p>
    <w:p w:rsidR="00AD7EB9" w:rsidRPr="00AD7EB9" w:rsidRDefault="00AD7EB9" w:rsidP="00AD7EB9">
      <w:pPr>
        <w:shd w:val="clear" w:color="auto" w:fill="FFFFFF"/>
        <w:spacing w:before="315" w:after="0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b/>
          <w:bCs/>
          <w:color w:val="000000"/>
          <w:sz w:val="23"/>
          <w:szCs w:val="23"/>
          <w:lang w:eastAsia="ru-RU"/>
        </w:rPr>
        <w:t>Очистка и уход</w:t>
      </w:r>
    </w:p>
    <w:p w:rsidR="00AD7EB9" w:rsidRPr="00AD7EB9" w:rsidRDefault="00AD7EB9" w:rsidP="00AD7E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5" w:lineRule="atLeast"/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</w:pPr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Очищать поверхность с помощью воды и мягкого моющего средства. Для удаления стойких загрязнений см. рекомендации в инструкции «</w:t>
      </w:r>
      <w:proofErr w:type="spellStart"/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Cleaning</w:t>
      </w:r>
      <w:proofErr w:type="spellEnd"/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of</w:t>
      </w:r>
      <w:proofErr w:type="spellEnd"/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 xml:space="preserve"> HPL </w:t>
      </w:r>
      <w:proofErr w:type="spellStart"/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surfaces</w:t>
      </w:r>
      <w:proofErr w:type="spellEnd"/>
      <w:r w:rsidRPr="00AD7EB9">
        <w:rPr>
          <w:rFonts w:ascii="sans serif" w:eastAsia="Times New Roman" w:hAnsi="sans serif" w:cs="Times New Roman"/>
          <w:color w:val="000000"/>
          <w:sz w:val="23"/>
          <w:szCs w:val="23"/>
          <w:lang w:eastAsia="ru-RU"/>
        </w:rPr>
        <w:t>»</w:t>
      </w:r>
    </w:p>
    <w:p w:rsidR="00E7177D" w:rsidRDefault="00E7177D">
      <w:bookmarkStart w:id="0" w:name="_GoBack"/>
      <w:bookmarkEnd w:id="0"/>
    </w:p>
    <w:sectPr w:rsidR="00E7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7668"/>
    <w:multiLevelType w:val="multilevel"/>
    <w:tmpl w:val="6A5E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20DBB"/>
    <w:multiLevelType w:val="multilevel"/>
    <w:tmpl w:val="08B0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C753B"/>
    <w:multiLevelType w:val="multilevel"/>
    <w:tmpl w:val="729A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D046E"/>
    <w:multiLevelType w:val="multilevel"/>
    <w:tmpl w:val="4A38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F4A31"/>
    <w:multiLevelType w:val="multilevel"/>
    <w:tmpl w:val="070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82BC4"/>
    <w:multiLevelType w:val="multilevel"/>
    <w:tmpl w:val="96D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20F47"/>
    <w:multiLevelType w:val="multilevel"/>
    <w:tmpl w:val="829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9"/>
    <w:rsid w:val="00AD7EB9"/>
    <w:rsid w:val="00E7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6E0B-229D-4504-BE18-08344B6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2020-02-25T22:35:00Z</dcterms:created>
  <dcterms:modified xsi:type="dcterms:W3CDTF">2020-02-25T22:35:00Z</dcterms:modified>
</cp:coreProperties>
</file>